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条形码标签说明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目的：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382270</wp:posOffset>
            </wp:positionV>
            <wp:extent cx="4172585" cy="3115310"/>
            <wp:effectExtent l="0" t="0" r="18415" b="8890"/>
            <wp:wrapNone/>
            <wp:docPr id="1" name="图片 1" descr="条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条码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规范来料包装，入库登记简便，把控产品批次，提高可追溯性。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条形格式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22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1.条码分两种规格，原材料和成品，大小相同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80×60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；</w:t>
      </w:r>
    </w:p>
    <w:p>
      <w:pPr>
        <w:spacing w:line="22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2.条码内容：红色框中文为固定格式，内容不变；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右边数字和中文为变动内容，需可编辑，根据实际情况输入。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条形码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内容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137160</wp:posOffset>
            </wp:positionV>
            <wp:extent cx="6944995" cy="2511425"/>
            <wp:effectExtent l="0" t="0" r="8255" b="3175"/>
            <wp:wrapNone/>
            <wp:docPr id="2" name="图片 2" descr="条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条码1"/>
                    <pic:cNvPicPr>
                      <a:picLocks noChangeAspect="1"/>
                    </pic:cNvPicPr>
                  </pic:nvPicPr>
                  <pic:blipFill>
                    <a:blip r:embed="rId5"/>
                    <a:srcRect t="10920"/>
                    <a:stretch>
                      <a:fillRect/>
                    </a:stretch>
                  </pic:blipFill>
                  <pic:spPr>
                    <a:xfrm>
                      <a:off x="0" y="0"/>
                      <a:ext cx="694499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说明：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物料代码：我司（浙江富铭）ERP金碟系统的产品代码，统一由各个采购员提供给供应商；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数量：为单件包装含有的包装数，共七位，不足七位前面用0补齐。例如一箱包装为50个产品，则条码数量为0000050；小数点占一位，例如加热线重量为30.56kg，则条码数量为0030.56；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供应商代码：各个供应商的机构代码，代码具有唯一性，各个供应商各不相同，无特殊情况不做调整，由采购员提供给供应商；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批次：目前暂定为产品生产日期，以年月日形式，例如：180101，为2018年1月1日；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流水号：同种产品，同一批次来料的数量（箱数或件数），共四位；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例子：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客户代码为Q0001供应商，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2018年1月1日生产物料代码为01.01.00001产品1000个，每箱100个，包装成10箱。则共需生成十张条形码，每箱一张。软件生产的第一张条形码为：01.01.000010000100Q00011801010001；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依次类推，第十张条形码为：01.01.000010000100Q00011801010010。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便签纸要求：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大小：80mm×60mm；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纸张：合成纸，要求防水，耐磨；</w:t>
      </w:r>
    </w:p>
    <w:p>
      <w:pPr>
        <w:numPr>
          <w:ilvl w:val="0"/>
          <w:numId w:val="0"/>
        </w:numPr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文字内容保存期：≥3年；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B2B6"/>
    <w:multiLevelType w:val="singleLevel"/>
    <w:tmpl w:val="5530B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471BC8"/>
    <w:multiLevelType w:val="singleLevel"/>
    <w:tmpl w:val="5A471BC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E707C"/>
    <w:rsid w:val="27CE0262"/>
    <w:rsid w:val="2D4A55E5"/>
    <w:rsid w:val="49D426D7"/>
    <w:rsid w:val="612C06D7"/>
    <w:rsid w:val="6E6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FMJSB</dc:creator>
  <cp:lastModifiedBy>天道酬勤คิดถึง</cp:lastModifiedBy>
  <dcterms:modified xsi:type="dcterms:W3CDTF">2019-11-20T00:57:24Z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